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eastAsia="方正黑体_GBK"/>
          <w:sz w:val="32"/>
          <w:szCs w:val="32"/>
        </w:rPr>
        <w:t>市政协提案</w:t>
      </w:r>
      <w:r>
        <w:rPr>
          <w:rFonts w:hint="eastAsia" w:eastAsia="方正黑体_GBK"/>
          <w:sz w:val="32"/>
          <w:szCs w:val="32"/>
        </w:rPr>
        <w:t>主办</w:t>
      </w:r>
      <w:r>
        <w:rPr>
          <w:rFonts w:eastAsia="方正黑体_GBK"/>
          <w:sz w:val="32"/>
          <w:szCs w:val="32"/>
        </w:rPr>
        <w:t xml:space="preserve">答复格式                                                                   </w:t>
      </w:r>
    </w:p>
    <w:p>
      <w:pPr>
        <w:spacing w:line="580" w:lineRule="exact"/>
        <w:ind w:firstLine="640" w:firstLineChars="200"/>
        <w:jc w:val="center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        </w:t>
      </w:r>
      <w:r>
        <w:rPr>
          <w:rFonts w:eastAsia="方正仿宋_GBK"/>
          <w:sz w:val="32"/>
          <w:szCs w:val="32"/>
        </w:rPr>
        <w:t>﹝A﹞</w:t>
      </w:r>
    </w:p>
    <w:p>
      <w:pPr>
        <w:spacing w:line="580" w:lineRule="exact"/>
        <w:rPr>
          <w:rFonts w:eastAsia="方正仿宋_GBK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</w:t>
      </w:r>
      <w:r>
        <w:rPr>
          <w:rFonts w:eastAsia="方正仿宋_GBK"/>
          <w:sz w:val="32"/>
          <w:szCs w:val="32"/>
        </w:rPr>
        <w:t>﹝公开﹞</w:t>
      </w:r>
    </w:p>
    <w:p>
      <w:pPr>
        <w:spacing w:beforeLines="80" w:afterLines="80"/>
        <w:jc w:val="distribute"/>
        <w:rPr>
          <w:rFonts w:hint="eastAsia" w:ascii="方正小标宋简体" w:hAnsi="方正小标宋简体" w:eastAsia="方正小标宋简体" w:cs="方正小标宋简体"/>
          <w:color w:val="FF0000"/>
          <w:sz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1153160</wp:posOffset>
                </wp:positionV>
                <wp:extent cx="5689600" cy="635"/>
                <wp:effectExtent l="0" t="10795" r="635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0.8pt;height:0.05pt;width:448pt;z-index:251659264;mso-width-relative:page;mso-height-relative:page;" filled="f" stroked="t" coordsize="21600,21600" o:gfxdata="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NrmHWAAAACAEAAA8AAAAAAAAAAQAgAAAAIgAAAGRycy9kb3ducmV2Lnht&#10;bFBLAQIUABQAAAAIAIdO4kAPNvPn+wEAAPUDAAAOAAAAAAAAAAEAIAAAACU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84"/>
        </w:rPr>
        <w:t>宿迁市</w:t>
      </w:r>
      <w:r>
        <w:rPr>
          <w:rFonts w:hint="eastAsia" w:ascii="方正小标宋简体" w:hAnsi="方正小标宋简体" w:eastAsia="方正小标宋简体" w:cs="方正小标宋简体"/>
          <w:color w:val="FF0000"/>
          <w:sz w:val="84"/>
          <w:lang w:val="en-US" w:eastAsia="zh-CN"/>
        </w:rPr>
        <w:t>交通运输</w:t>
      </w:r>
      <w:r>
        <w:rPr>
          <w:rFonts w:hint="eastAsia" w:ascii="方正小标宋简体" w:hAnsi="方正小标宋简体" w:eastAsia="方正小标宋简体" w:cs="方正小标宋简体"/>
          <w:color w:val="FF0000"/>
          <w:sz w:val="84"/>
        </w:rPr>
        <w:t>局</w:t>
      </w:r>
    </w:p>
    <w:p/>
    <w:p>
      <w:pPr>
        <w:spacing w:line="580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××××﹝202</w:t>
      </w:r>
      <w:r>
        <w:rPr>
          <w:rFonts w:hint="eastAsia" w:eastAsia="方正楷体_GBK"/>
          <w:sz w:val="32"/>
          <w:szCs w:val="32"/>
        </w:rPr>
        <w:t>3</w:t>
      </w:r>
      <w:r>
        <w:rPr>
          <w:rFonts w:eastAsia="方正楷体_GBK"/>
          <w:sz w:val="32"/>
          <w:szCs w:val="32"/>
        </w:rPr>
        <w:t>﹞  号                     签发人：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关于市政协六届二次会议第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  <w:t>060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号提案的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答复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张坤</w:t>
      </w:r>
      <w:r>
        <w:rPr>
          <w:rFonts w:hint="eastAsia" w:ascii="仿宋" w:hAnsi="仿宋" w:eastAsia="仿宋" w:cs="仿宋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您提出的《关于促进网络货运新业态发展的建议》收悉，现将办理情况和办理结果答复如下：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提案建议后，我局高度重视，立即会市税务、公安、市场监管等部门开展调研，并就加强网络货运监管、平台推广等方面进行了深入研究，形成结论。针对其中的建议，我们采纳了4条、落实了4条，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加强监管力度。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审核准入机制。新办网络货运企业许可前，企业网络货运平台需通过省交通运输厅资格认定，资格认定需具备省通信管理部门核发的《增值电信业务许可证》、公安部门出具的《信息系统安全等级保护备案证明》、《网络货运平台系统主要功能说明》等条件，省厅认定合格以后方可按照许可条件办理网络货运经营许可证。同时，市税务部门本着“包容审慎、促进发展”的原则，加强企业事前审核与事中辅导，按照网络货运管理暂行办法等文件要求，依次对企业资质、纳税记录、合同文本、平台功能和业务逻辑等开展审核，未达到相关条件的不予纳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网络货运信息统计方面，我市交通部门通过“江苏省网络货运检测与服务平台”进行统计监测，该平台可查询我市网络货运企业数量、整合运力数量、整合驾驶员数量、完成货运量、运费及运单量，对未按规定上传运单信息的企业定期通报，并按相关规定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建立信用评价体系方面，市市场监管局制定出台《网络市场信用评价管理工作规范》地方标准，对全市网络市场主体开展信用分级分类监管，以网络交易经营者信用信息为基础，通过量化方式，对其诚信执业、依法经营、授信履约等维度的信用状况进行信用综合评价，按照信用等级，实施差异化“双随机一公开”抽查，构建以信用为基础的网络市场常态化新型监管机制，全面提升网络交易监管水平。另外，交通执法部门采取联席会议、联合约谈、联动执法等方式，督促辖区网络货运企业落实安全主体责任，并对我市网络货运企业经营条件进行逐一排查，强化对网络货运企业的资质审查、监督执法和信用评价，督促企业健全并落实安全生产各项管理制度和操作规程，强化全过程管控，严格执行数据上传，保护司机合法权益，认真落实信用管理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建立培养机制。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拟结合国有企业的力量，带动民营网络货运企业发展，将不同层级的网络货运平台管理人员纳入培养范围，具体措施计划从以下几方面开展：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开展专业知识培训。组织现代交通物流管理业务知识培训活动，邀请专家对现行规定、规范、政策文件、典型案例等进行专项讲解，不断提升从业人员业务素养，培养一批业务能力强的技术骨干。组织业务骨干到外省、市就现代交通物流管理方式方法等方面开展学习交流，开拓视野，不断提升我市现代交通物流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设立专家研讨论坛。设立专家研讨论坛，对现代交通物流管理过程中出现的新问题、新情况等，定期组织专家开展专题研讨会，采用头脑风暴法，畅所欲言，充分发挥个人的主动性和积极性，对现代交通物流管理建言献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三是建立专业人才培养激励机制。现代交通物流管理最需要的是知识储备充足的管理人才。鼓励优秀物流青年加强业务知识更新学习，对现代交通物流管理工作突出的优秀人才在相关方面予以支持。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建立激励机制。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市政府拟出台《关于加快交通运输产业高质量发展的实施意见》，加快交通运输产业高质量发展，促进物流降本增效，为全市经济社会发展和推进“四化”同步集成改革增添动力。我局立足实际，提出支持发展网络货运平台企业，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极引进货运实体企业和网络货运平台企业，充分发挥平台经济的规模效应，建议对取得本地“网络货运”道路运输经营许可证，并接入交通、税务监管平台，符合相关条件的网络货运平台企业予以奖励。通过出台奖励激励政策，引导我市网络货运企业规范经营、做大做强。同时，鼓励本土优质网络货运企业积极参加江苏交通“运输企业25强”认定，运输企业涵盖“道路运输企业、水路运输企业、多式联运和运输代理企业、新业态运输企业”。从多方面扶持本地网络货运企业做大做强，提高知名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加强网货平台推广。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迁交通部门从多个方面推动宿迁网络货运企业扩大知名度。一是开展网络货运新业态货车司机党建工作。选择快智运、通湖物流园、九城物联等网络货运企业纳入试点。2022年6月，江苏“卡友e家”货车司机线上服务平台上线，宿迁参与试点的网络货运企业的党建端口接入。宿迁市交通运输行业党委积极探索党建引领与行业管理“一体融合”服务模式，把党的组织、党的工作覆盖到道路货运领域各方面和全过程，以党建带动行业发展，取得显著成效。2023年6月10日，江苏省“卡友e家”云平台上线暨货车司机群体党建工作现场观摩活动在宿迁市沭阳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举行，我市新业态网络货运行业在全省的知名度进一步提升。二是鼓励网货平台企业参加系列展会。鼓励我市网络货运企业积极参加中国国际物流发展大会、中国(连云港)丝绸之路国际物流博览会等系列国内知名的物流大会，设置展台进行推介，并为企业参展提供相关协助，扩大我市网络货运企业在全国的知名度。三是在全市企业中进行推广。将我市网络货运平台企业推送给工信部门，由工信部门推荐给全市相关企业选择使用，在企业传统运输方式的前提下择优选择使用，降低企业运输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此外，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我市网络货运行业还存在实力总体较弱、运单量少、经营不规范、在全国知名度低等问题，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下一步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交通部门将会税务、市监、公安等部门，加强联合监管力度，提高监管效能。加强信息互换、执法互助，形成监管合力，构建多元共治的监管格局。进一步创新我市网络货运平台企业监管理念和方式，落实和完善包容审慎监管要求，营造更加公平竞争的市场环境，支持本土网络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平台企业做大做强的同时，鼓励依托互联网技术，应用多式联运、甩挂运输和共同配送等运输组织模式，加快布局我市城市配送、农村物流、冷链物流等重点物流领域，促进物流资源集约整合、高效利用，切实促进物流业降本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（单位印章）</w:t>
      </w:r>
    </w:p>
    <w:p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年    月    日</w:t>
      </w:r>
    </w:p>
    <w:p>
      <w:pPr>
        <w:spacing w:line="40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  <w:lang w:val="en-US" w:eastAsia="zh-CN"/>
        </w:rPr>
        <w:t>牛健</w:t>
      </w:r>
    </w:p>
    <w:p>
      <w:p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  <w:lang w:val="en-US" w:eastAsia="zh-CN"/>
        </w:rPr>
        <w:t>15050952506</w:t>
      </w:r>
    </w:p>
    <w:p>
      <w:r>
        <w:rPr>
          <w:rFonts w:eastAsia="方正仿宋_GBK"/>
          <w:sz w:val="32"/>
          <w:szCs w:val="32"/>
        </w:rPr>
        <w:t>抄    送：市政府办公室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市提案法制委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697C7"/>
    <w:multiLevelType w:val="singleLevel"/>
    <w:tmpl w:val="636697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WU2Mjg4ZjgzNWYxNjRlY2MxMzUwYzE0NWYzYzMifQ=="/>
  </w:docVars>
  <w:rsids>
    <w:rsidRoot w:val="00000000"/>
    <w:rsid w:val="011E11D6"/>
    <w:rsid w:val="021F6013"/>
    <w:rsid w:val="042711AF"/>
    <w:rsid w:val="05CD3FD8"/>
    <w:rsid w:val="089F4205"/>
    <w:rsid w:val="09866978"/>
    <w:rsid w:val="0C7D1FE3"/>
    <w:rsid w:val="10A342B4"/>
    <w:rsid w:val="19B4719F"/>
    <w:rsid w:val="1D4A4435"/>
    <w:rsid w:val="1FF84AF7"/>
    <w:rsid w:val="217C6B87"/>
    <w:rsid w:val="2230171F"/>
    <w:rsid w:val="255A35DF"/>
    <w:rsid w:val="2A8D28EE"/>
    <w:rsid w:val="2C2F2D92"/>
    <w:rsid w:val="2E627104"/>
    <w:rsid w:val="2EA43279"/>
    <w:rsid w:val="2F06190A"/>
    <w:rsid w:val="2FAD0853"/>
    <w:rsid w:val="34EB5438"/>
    <w:rsid w:val="35EF127D"/>
    <w:rsid w:val="35FD41A3"/>
    <w:rsid w:val="3C25409A"/>
    <w:rsid w:val="3DC345A7"/>
    <w:rsid w:val="3ECD2378"/>
    <w:rsid w:val="3FAF4690"/>
    <w:rsid w:val="40B05AAD"/>
    <w:rsid w:val="40E65973"/>
    <w:rsid w:val="42961B49"/>
    <w:rsid w:val="432D288B"/>
    <w:rsid w:val="434370AD"/>
    <w:rsid w:val="442C0BD3"/>
    <w:rsid w:val="49DF11B1"/>
    <w:rsid w:val="4D8E7176"/>
    <w:rsid w:val="4F23737A"/>
    <w:rsid w:val="53656BCB"/>
    <w:rsid w:val="53E93358"/>
    <w:rsid w:val="56D976B4"/>
    <w:rsid w:val="572D7A00"/>
    <w:rsid w:val="5B050A16"/>
    <w:rsid w:val="5B2D436D"/>
    <w:rsid w:val="5BED4606"/>
    <w:rsid w:val="5E3F2462"/>
    <w:rsid w:val="5F427DC1"/>
    <w:rsid w:val="616F3C04"/>
    <w:rsid w:val="66B60A5F"/>
    <w:rsid w:val="6CDA707E"/>
    <w:rsid w:val="76D90BB3"/>
    <w:rsid w:val="7AA64A51"/>
    <w:rsid w:val="7AD21A6E"/>
    <w:rsid w:val="7B650D5E"/>
    <w:rsid w:val="7B750C68"/>
    <w:rsid w:val="7DE71E07"/>
    <w:rsid w:val="7F6930E6"/>
    <w:rsid w:val="7FB64187"/>
    <w:rsid w:val="7FF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2427</Words>
  <Characters>2453</Characters>
  <Lines>0</Lines>
  <Paragraphs>0</Paragraphs>
  <TotalTime>26</TotalTime>
  <ScaleCrop>false</ScaleCrop>
  <LinksUpToDate>false</LinksUpToDate>
  <CharactersWithSpaces>2686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2023-05-23T03:32:00Z</dcterms:created>
  <dc:creator>DELL</dc:creator>
  <cp:lastModifiedBy>北纬33.96</cp:lastModifiedBy>
  <dcterms:modified xsi:type="dcterms:W3CDTF">2023-05-30T07:22:38Z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48F76B8FB4AF424D9E11E3687DC5F9C4_12</vt:lpwstr>
  </property>
</Properties>
</file>