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_GBK" w:hAnsi="宋体" w:eastAsia="方正小标宋_GBK" w:cs="宋体"/>
          <w:bCs/>
          <w:color w:val="333333"/>
          <w:kern w:val="0"/>
          <w:sz w:val="44"/>
          <w:szCs w:val="36"/>
        </w:rPr>
      </w:pPr>
      <w:r>
        <w:rPr>
          <w:rFonts w:hint="eastAsia" w:ascii="方正小标宋_GBK" w:hAnsi="宋体" w:eastAsia="方正小标宋_GBK" w:cs="宋体"/>
          <w:bCs/>
          <w:color w:val="333333"/>
          <w:kern w:val="0"/>
          <w:sz w:val="44"/>
          <w:szCs w:val="36"/>
        </w:rPr>
        <w:t>2021年度政府信息公开工作年度报告</w:t>
      </w:r>
    </w:p>
    <w:p>
      <w:pPr>
        <w:widowControl/>
        <w:shd w:val="clear" w:color="auto" w:fill="FFFFFF"/>
        <w:jc w:val="center"/>
        <w:rPr>
          <w:rFonts w:ascii="方正楷体_GBK" w:hAnsi="宋体" w:eastAsia="方正楷体_GBK" w:cs="宋体"/>
          <w:color w:val="333333"/>
          <w:kern w:val="0"/>
          <w:sz w:val="20"/>
          <w:szCs w:val="21"/>
        </w:rPr>
      </w:pPr>
      <w:bookmarkStart w:id="0" w:name="_GoBack"/>
      <w:bookmarkEnd w:id="0"/>
    </w:p>
    <w:p>
      <w:pPr>
        <w:widowControl/>
        <w:shd w:val="clear" w:color="auto" w:fill="FFFFFF"/>
        <w:spacing w:line="580" w:lineRule="exact"/>
        <w:ind w:firstLine="640" w:firstLineChars="20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根据《中华人民共和国政府信息公开条例》，特向社会公布宿迁市交通运输局2021年度政府信息公开年度报告。本报告由总体情况；主动公开政府信息情况；依申请公开政府信息情况；被申请行政复议、提起行政诉讼情况；存在的的主要问题和改进情况；其他需要报告的事项等几方面内容组成。</w:t>
      </w:r>
    </w:p>
    <w:p>
      <w:pPr>
        <w:widowControl/>
        <w:shd w:val="clear" w:color="auto" w:fill="FFFFFF"/>
        <w:spacing w:line="580" w:lineRule="exact"/>
        <w:ind w:firstLine="640" w:firstLineChars="20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本报告所列数据的统计时限为2021年1月1日至2021年12月31日。如对本报告有任何疑问，请与宿迁市交通运输局政府信息公开领导小组办公室联系，地址：宿迁市洪泽湖路151号，邮编：2238000，电话：84355196，传真：84355002。</w:t>
      </w:r>
    </w:p>
    <w:p>
      <w:pPr>
        <w:widowControl/>
        <w:shd w:val="clear" w:color="auto" w:fill="FFFFFF"/>
        <w:spacing w:line="580" w:lineRule="exact"/>
        <w:ind w:firstLine="640" w:firstLineChars="200"/>
        <w:rPr>
          <w:rFonts w:hint="eastAsia"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一、总体情况</w:t>
      </w:r>
    </w:p>
    <w:p>
      <w:pPr>
        <w:widowControl/>
        <w:shd w:val="clear" w:color="auto" w:fill="FFFFFF"/>
        <w:spacing w:line="580" w:lineRule="exact"/>
        <w:ind w:firstLine="640" w:firstLineChars="20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2021年，我局在大力推进综合交通建设、强化交通运输行业管理的同时，认真贯彻落实《条例》及国家、省、市关于政务公开有关文件精神，高度重视政府信息公开工作，将其作为提高政府部门效率、优化政府部门形象的重要举措，为服务全市经济社会发展作出了应有贡献。</w:t>
      </w:r>
    </w:p>
    <w:p>
      <w:pPr>
        <w:widowControl/>
        <w:shd w:val="clear" w:color="auto" w:fill="FFFFFF"/>
        <w:spacing w:line="580" w:lineRule="exact"/>
        <w:ind w:firstLine="640" w:firstLineChars="200"/>
        <w:rPr>
          <w:rFonts w:hint="eastAsia" w:ascii="方正楷体_GBK" w:hAnsi="宋体" w:eastAsia="方正楷体_GBK" w:cs="宋体"/>
          <w:color w:val="333333"/>
          <w:kern w:val="0"/>
          <w:sz w:val="32"/>
          <w:szCs w:val="32"/>
        </w:rPr>
      </w:pPr>
      <w:r>
        <w:rPr>
          <w:rFonts w:hint="eastAsia" w:ascii="方正楷体_GBK" w:hAnsi="宋体" w:eastAsia="方正楷体_GBK" w:cs="宋体"/>
          <w:color w:val="333333"/>
          <w:kern w:val="0"/>
          <w:sz w:val="32"/>
          <w:szCs w:val="32"/>
        </w:rPr>
        <w:t>（一）主动公开情况</w:t>
      </w:r>
    </w:p>
    <w:p>
      <w:pPr>
        <w:widowControl/>
        <w:shd w:val="clear" w:color="auto" w:fill="FFFFFF"/>
        <w:spacing w:line="580" w:lineRule="exact"/>
        <w:ind w:firstLine="640" w:firstLineChars="200"/>
        <w:jc w:val="left"/>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2021年，我局通过不同渠道和方式公开政府信息1万余条，其中，通过政府网站公开3446条，在宿迁交通微信推送信息346条，微博发布信息325条，抖音布信息180条。全年参加新闻发布活动3次，开展在线访谈类活动5次。</w:t>
      </w:r>
    </w:p>
    <w:p>
      <w:pPr>
        <w:widowControl/>
        <w:shd w:val="clear" w:color="auto" w:fill="FFFFFF"/>
        <w:spacing w:line="580" w:lineRule="exact"/>
        <w:ind w:firstLine="640" w:firstLineChars="200"/>
        <w:jc w:val="left"/>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2021我局按期完成60件“两会”建议提案办理工作，由我局主（分）办的30件涉及公共利益、公众权益、社会关切及需要社会广泛知晓的建议和提案办理复文已通过网站公开。</w:t>
      </w:r>
    </w:p>
    <w:p>
      <w:pPr>
        <w:widowControl/>
        <w:shd w:val="clear" w:color="auto" w:fill="FFFFFF"/>
        <w:spacing w:line="580" w:lineRule="exact"/>
        <w:ind w:firstLine="640" w:firstLineChars="200"/>
        <w:rPr>
          <w:rFonts w:hint="eastAsia" w:ascii="方正楷体_GBK" w:hAnsi="宋体" w:eastAsia="方正楷体_GBK" w:cs="宋体"/>
          <w:color w:val="333333"/>
          <w:kern w:val="0"/>
          <w:sz w:val="32"/>
          <w:szCs w:val="32"/>
        </w:rPr>
      </w:pPr>
      <w:r>
        <w:rPr>
          <w:rFonts w:hint="eastAsia" w:ascii="方正楷体_GBK" w:hAnsi="宋体" w:eastAsia="方正楷体_GBK" w:cs="宋体"/>
          <w:color w:val="333333"/>
          <w:kern w:val="0"/>
          <w:sz w:val="32"/>
          <w:szCs w:val="32"/>
        </w:rPr>
        <w:t>（二）依申请公开情况</w:t>
      </w:r>
    </w:p>
    <w:p>
      <w:pPr>
        <w:widowControl/>
        <w:shd w:val="clear" w:color="auto" w:fill="FFFFFF"/>
        <w:spacing w:line="580" w:lineRule="exact"/>
        <w:ind w:firstLine="640" w:firstLineChars="20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2021年，我局共新收到政府信息公开申请7件，信函3件，网络申请4件；上年度结转1件；其中同意公开3件，部分公开1件，信息不掌握3件；</w:t>
      </w:r>
      <w:r>
        <w:rPr>
          <w:rFonts w:hint="eastAsia" w:ascii="方正仿宋_GBK" w:hAnsi="宋体" w:eastAsia="方正仿宋_GBK" w:cs="宋体"/>
          <w:kern w:val="0"/>
          <w:sz w:val="32"/>
          <w:szCs w:val="32"/>
        </w:rPr>
        <w:t>申请人无正当理由逾期不补正，不再处理1件</w:t>
      </w:r>
      <w:r>
        <w:rPr>
          <w:rFonts w:hint="eastAsia" w:ascii="方正仿宋_GBK" w:hAnsi="宋体" w:eastAsia="方正仿宋_GBK" w:cs="宋体"/>
          <w:color w:val="333333"/>
          <w:kern w:val="0"/>
          <w:sz w:val="32"/>
          <w:szCs w:val="32"/>
        </w:rPr>
        <w:t>。</w:t>
      </w:r>
    </w:p>
    <w:p>
      <w:pPr>
        <w:widowControl/>
        <w:shd w:val="clear" w:color="auto" w:fill="FFFFFF"/>
        <w:spacing w:line="580" w:lineRule="exact"/>
        <w:ind w:firstLine="640" w:firstLineChars="200"/>
        <w:rPr>
          <w:rFonts w:hint="eastAsia" w:ascii="方正楷体_GBK" w:hAnsi="宋体" w:eastAsia="方正楷体_GBK" w:cs="宋体"/>
          <w:color w:val="333333"/>
          <w:kern w:val="0"/>
          <w:sz w:val="32"/>
          <w:szCs w:val="32"/>
        </w:rPr>
      </w:pPr>
      <w:r>
        <w:rPr>
          <w:rFonts w:hint="eastAsia" w:ascii="方正楷体_GBK" w:hAnsi="宋体" w:eastAsia="方正楷体_GBK" w:cs="宋体"/>
          <w:color w:val="333333"/>
          <w:kern w:val="0"/>
          <w:sz w:val="32"/>
          <w:szCs w:val="32"/>
        </w:rPr>
        <w:t>（三）政府信息管理情况</w:t>
      </w:r>
    </w:p>
    <w:p>
      <w:pPr>
        <w:widowControl/>
        <w:shd w:val="clear" w:color="auto" w:fill="FFFFFF"/>
        <w:spacing w:line="580" w:lineRule="exact"/>
        <w:ind w:firstLine="640" w:firstLineChars="20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我局制定了《宿迁市交通运输局2021年政务公开工作要点》，坚持“以公开为常态，不公开为例外”原则，规范政府信息公开工作程序，同时加强信息公开保密审查，确保信息安全。</w:t>
      </w:r>
    </w:p>
    <w:p>
      <w:pPr>
        <w:widowControl/>
        <w:shd w:val="clear" w:color="auto" w:fill="FFFFFF"/>
        <w:spacing w:line="580" w:lineRule="exact"/>
        <w:ind w:firstLine="640" w:firstLineChars="200"/>
        <w:rPr>
          <w:rFonts w:hint="eastAsia" w:ascii="方正楷体_GBK" w:hAnsi="宋体" w:eastAsia="方正楷体_GBK" w:cs="宋体"/>
          <w:color w:val="333333"/>
          <w:kern w:val="0"/>
          <w:sz w:val="32"/>
          <w:szCs w:val="32"/>
        </w:rPr>
      </w:pPr>
      <w:r>
        <w:rPr>
          <w:rFonts w:hint="eastAsia" w:ascii="方正楷体_GBK" w:hAnsi="宋体" w:eastAsia="方正楷体_GBK" w:cs="宋体"/>
          <w:color w:val="333333"/>
          <w:kern w:val="0"/>
          <w:sz w:val="32"/>
          <w:szCs w:val="32"/>
        </w:rPr>
        <w:t>（四）政府信息平台建设情况</w:t>
      </w:r>
    </w:p>
    <w:p>
      <w:pPr>
        <w:widowControl/>
        <w:shd w:val="clear" w:color="auto" w:fill="FFFFFF"/>
        <w:spacing w:line="580" w:lineRule="exact"/>
        <w:ind w:firstLine="640" w:firstLineChars="20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2021年，我局进一步优化平台建设，明确职责分工，通过官方微信、微博、网站在线访谈、政府公报、公示栏、广播电视、12328交通服务热线等渠道及时发布、提供与社会公众密切相关的交通信息。</w:t>
      </w:r>
    </w:p>
    <w:p>
      <w:pPr>
        <w:widowControl/>
        <w:shd w:val="clear" w:color="auto" w:fill="FFFFFF"/>
        <w:spacing w:line="580" w:lineRule="exact"/>
        <w:ind w:firstLine="640" w:firstLineChars="200"/>
        <w:rPr>
          <w:rFonts w:hint="eastAsia" w:ascii="方正楷体_GBK" w:hAnsi="宋体" w:eastAsia="方正楷体_GBK" w:cs="宋体"/>
          <w:color w:val="333333"/>
          <w:kern w:val="0"/>
          <w:sz w:val="32"/>
          <w:szCs w:val="32"/>
        </w:rPr>
      </w:pPr>
      <w:r>
        <w:rPr>
          <w:rFonts w:hint="eastAsia" w:ascii="方正楷体_GBK" w:hAnsi="宋体" w:eastAsia="方正楷体_GBK" w:cs="宋体"/>
          <w:color w:val="333333"/>
          <w:kern w:val="0"/>
          <w:sz w:val="32"/>
          <w:szCs w:val="32"/>
        </w:rPr>
        <w:t>（五）监督保障情况</w:t>
      </w:r>
    </w:p>
    <w:p>
      <w:pPr>
        <w:widowControl/>
        <w:shd w:val="clear" w:color="auto" w:fill="FFFFFF"/>
        <w:spacing w:line="580" w:lineRule="exact"/>
        <w:ind w:firstLine="640" w:firstLineChars="20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我局将全面推进政务公开工作情况纳入年度交通运输工作重点工作考评指标，确保压力传导到位。及时调整政务公开领导小组，完善政务公开工作网络，保障了政府信息公开工作的高效运行。依照各类政府信息公开制度，适时编制、调整、更新属于主动公开范围的政府信息目录，保证信息公开的及时、全面和准确。认真落实信息公开考核和责任追究制度，加强日常检查，聚焦公开实效，定期梳理信息公开问题，推动工作水平提升。</w:t>
      </w:r>
    </w:p>
    <w:p>
      <w:pPr>
        <w:widowControl/>
        <w:shd w:val="clear" w:color="auto" w:fill="FFFFFF"/>
        <w:spacing w:line="580" w:lineRule="exact"/>
        <w:ind w:firstLine="640" w:firstLineChars="20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2021年11月5日 组织全市交通运输系统政务公开工作人员参加省交通运输厅组织的线上《新时代政务公开工作的新要求新任务》培训，并就交通运输部《交通运输领域基层政务公开标准指引（征求意见稿）》展开讨论，为下一步工作开展奠定了基础。</w:t>
      </w:r>
    </w:p>
    <w:p>
      <w:pPr>
        <w:widowControl/>
        <w:shd w:val="clear" w:color="auto" w:fill="FFFFFF"/>
        <w:spacing w:line="580" w:lineRule="exact"/>
        <w:ind w:firstLine="640" w:firstLineChars="200"/>
        <w:rPr>
          <w:rFonts w:ascii="宋体" w:hAnsi="宋体" w:eastAsia="宋体" w:cs="宋体"/>
          <w:color w:val="333333"/>
          <w:kern w:val="0"/>
          <w:szCs w:val="21"/>
        </w:rPr>
      </w:pPr>
      <w:r>
        <w:rPr>
          <w:rFonts w:hint="eastAsia" w:ascii="方正黑体_GBK" w:hAnsi="宋体" w:eastAsia="方正黑体_GBK" w:cs="宋体"/>
          <w:bCs/>
          <w:color w:val="333333"/>
          <w:kern w:val="0"/>
          <w:sz w:val="32"/>
          <w:szCs w:val="32"/>
        </w:rPr>
        <w:t>二、主动公开政府信息情况</w:t>
      </w:r>
    </w:p>
    <w:tbl>
      <w:tblPr>
        <w:tblStyle w:val="5"/>
        <w:tblW w:w="8490" w:type="dxa"/>
        <w:jc w:val="center"/>
        <w:tblLayout w:type="autofit"/>
        <w:tblCellMar>
          <w:top w:w="0" w:type="dxa"/>
          <w:left w:w="0" w:type="dxa"/>
          <w:bottom w:w="0" w:type="dxa"/>
          <w:right w:w="0" w:type="dxa"/>
        </w:tblCellMar>
      </w:tblPr>
      <w:tblGrid>
        <w:gridCol w:w="2435"/>
        <w:gridCol w:w="1982"/>
        <w:gridCol w:w="1946"/>
        <w:gridCol w:w="2127"/>
      </w:tblGrid>
      <w:tr>
        <w:tblPrEx>
          <w:tblCellMar>
            <w:top w:w="0" w:type="dxa"/>
            <w:left w:w="0" w:type="dxa"/>
            <w:bottom w:w="0" w:type="dxa"/>
            <w:right w:w="0" w:type="dxa"/>
          </w:tblCellMar>
        </w:tblPrEx>
        <w:trPr>
          <w:trHeight w:val="340" w:hRule="atLeast"/>
          <w:jc w:val="center"/>
        </w:trPr>
        <w:tc>
          <w:tcPr>
            <w:tcW w:w="849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1982"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w:t>
            </w:r>
            <w:r>
              <w:rPr>
                <w:rFonts w:ascii="宋体" w:hAnsi="宋体" w:eastAsia="宋体" w:cs="宋体"/>
                <w:color w:val="000000"/>
                <w:kern w:val="0"/>
                <w:sz w:val="20"/>
                <w:szCs w:val="20"/>
              </w:rPr>
              <w:t>制</w:t>
            </w:r>
            <w:r>
              <w:rPr>
                <w:rFonts w:hint="eastAsia" w:ascii="宋体" w:hAnsi="宋体" w:eastAsia="宋体" w:cs="宋体"/>
                <w:color w:val="000000"/>
                <w:kern w:val="0"/>
                <w:sz w:val="20"/>
                <w:szCs w:val="20"/>
              </w:rPr>
              <w:t>发件</w:t>
            </w:r>
            <w:r>
              <w:rPr>
                <w:rFonts w:ascii="宋体" w:hAnsi="宋体" w:eastAsia="宋体" w:cs="宋体"/>
                <w:color w:val="000000"/>
                <w:kern w:val="0"/>
                <w:sz w:val="20"/>
                <w:szCs w:val="20"/>
              </w:rPr>
              <w:t>数</w:t>
            </w:r>
          </w:p>
        </w:tc>
        <w:tc>
          <w:tcPr>
            <w:tcW w:w="194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本年废止件数</w:t>
            </w:r>
          </w:p>
        </w:tc>
        <w:tc>
          <w:tcPr>
            <w:tcW w:w="212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现行有效件</w:t>
            </w:r>
            <w:r>
              <w:rPr>
                <w:rFonts w:ascii="宋体" w:hAnsi="宋体" w:eastAsia="宋体" w:cs="宋体"/>
                <w:color w:val="000000"/>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198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94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198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94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r>
      <w:tr>
        <w:tblPrEx>
          <w:tblCellMar>
            <w:top w:w="0" w:type="dxa"/>
            <w:left w:w="0" w:type="dxa"/>
            <w:bottom w:w="0" w:type="dxa"/>
            <w:right w:w="0" w:type="dxa"/>
          </w:tblCellMar>
        </w:tblPrEx>
        <w:trPr>
          <w:trHeight w:val="340" w:hRule="atLeast"/>
          <w:jc w:val="center"/>
        </w:trPr>
        <w:tc>
          <w:tcPr>
            <w:tcW w:w="849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605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行政许可</w:t>
            </w:r>
          </w:p>
        </w:tc>
        <w:tc>
          <w:tcPr>
            <w:tcW w:w="605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6181</w:t>
            </w:r>
          </w:p>
        </w:tc>
      </w:tr>
      <w:tr>
        <w:tblPrEx>
          <w:tblCellMar>
            <w:top w:w="0" w:type="dxa"/>
            <w:left w:w="0" w:type="dxa"/>
            <w:bottom w:w="0" w:type="dxa"/>
            <w:right w:w="0" w:type="dxa"/>
          </w:tblCellMar>
        </w:tblPrEx>
        <w:trPr>
          <w:trHeight w:val="340" w:hRule="atLeast"/>
          <w:jc w:val="center"/>
        </w:trPr>
        <w:tc>
          <w:tcPr>
            <w:tcW w:w="849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605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605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4264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605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340" w:hRule="atLeast"/>
          <w:jc w:val="center"/>
        </w:trPr>
        <w:tc>
          <w:tcPr>
            <w:tcW w:w="849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605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行政事业性收费</w:t>
            </w:r>
          </w:p>
        </w:tc>
        <w:tc>
          <w:tcPr>
            <w:tcW w:w="605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22.18（含局属单位）</w:t>
            </w:r>
          </w:p>
        </w:tc>
      </w:tr>
    </w:tbl>
    <w:p>
      <w:pPr>
        <w:widowControl/>
        <w:shd w:val="clear" w:color="auto" w:fill="FFFFFF"/>
        <w:ind w:firstLine="480"/>
        <w:rPr>
          <w:rFonts w:ascii="宋体" w:hAnsi="宋体" w:eastAsia="宋体" w:cs="宋体"/>
          <w:b/>
          <w:bCs/>
          <w:color w:val="333333"/>
          <w:kern w:val="0"/>
          <w:szCs w:val="21"/>
        </w:rPr>
      </w:pPr>
    </w:p>
    <w:p>
      <w:pPr>
        <w:widowControl/>
        <w:shd w:val="clear" w:color="auto" w:fill="FFFFFF"/>
        <w:ind w:firstLine="480"/>
        <w:rPr>
          <w:rFonts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三、收到和处理政府信息公开申请情况</w:t>
      </w:r>
    </w:p>
    <w:p>
      <w:pPr>
        <w:widowControl/>
        <w:shd w:val="clear" w:color="auto" w:fill="FFFFFF"/>
        <w:ind w:firstLine="480"/>
        <w:rPr>
          <w:rFonts w:ascii="宋体" w:hAnsi="宋体" w:eastAsia="宋体" w:cs="宋体"/>
          <w:color w:val="333333"/>
          <w:kern w:val="0"/>
          <w:szCs w:val="21"/>
        </w:rPr>
      </w:pPr>
    </w:p>
    <w:tbl>
      <w:tblPr>
        <w:tblStyle w:val="5"/>
        <w:tblW w:w="8514" w:type="dxa"/>
        <w:jc w:val="center"/>
        <w:tblLayout w:type="autofit"/>
        <w:tblCellMar>
          <w:top w:w="0" w:type="dxa"/>
          <w:left w:w="0" w:type="dxa"/>
          <w:bottom w:w="0" w:type="dxa"/>
          <w:right w:w="0" w:type="dxa"/>
        </w:tblCellMar>
      </w:tblPr>
      <w:tblGrid>
        <w:gridCol w:w="514"/>
        <w:gridCol w:w="934"/>
        <w:gridCol w:w="3123"/>
        <w:gridCol w:w="475"/>
        <w:gridCol w:w="570"/>
        <w:gridCol w:w="598"/>
        <w:gridCol w:w="567"/>
        <w:gridCol w:w="567"/>
        <w:gridCol w:w="604"/>
        <w:gridCol w:w="562"/>
      </w:tblGrid>
      <w:tr>
        <w:tblPrEx>
          <w:tblCellMar>
            <w:top w:w="0" w:type="dxa"/>
            <w:left w:w="0" w:type="dxa"/>
            <w:bottom w:w="0" w:type="dxa"/>
            <w:right w:w="0" w:type="dxa"/>
          </w:tblCellMar>
        </w:tblPrEx>
        <w:trPr>
          <w:jc w:val="center"/>
        </w:trPr>
        <w:tc>
          <w:tcPr>
            <w:tcW w:w="457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3943"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4571"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75"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2906"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2" w:type="dxa"/>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4571"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75"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56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0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2" w:type="dxa"/>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457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7</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7</w:t>
            </w:r>
          </w:p>
        </w:tc>
      </w:tr>
      <w:tr>
        <w:tblPrEx>
          <w:tblCellMar>
            <w:top w:w="0" w:type="dxa"/>
            <w:left w:w="0" w:type="dxa"/>
            <w:bottom w:w="0" w:type="dxa"/>
            <w:right w:w="0" w:type="dxa"/>
          </w:tblCellMar>
        </w:tblPrEx>
        <w:trPr>
          <w:jc w:val="center"/>
        </w:trPr>
        <w:tc>
          <w:tcPr>
            <w:tcW w:w="457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1</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1</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514"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057"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3</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057"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1</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3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3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3</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3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trHeight w:val="779"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475"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5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34"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12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1</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12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51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057"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8</w:t>
            </w:r>
          </w:p>
        </w:tc>
      </w:tr>
      <w:tr>
        <w:tblPrEx>
          <w:tblCellMar>
            <w:top w:w="0" w:type="dxa"/>
            <w:left w:w="0" w:type="dxa"/>
            <w:bottom w:w="0" w:type="dxa"/>
            <w:right w:w="0" w:type="dxa"/>
          </w:tblCellMar>
        </w:tblPrEx>
        <w:trPr>
          <w:jc w:val="center"/>
        </w:trPr>
        <w:tc>
          <w:tcPr>
            <w:tcW w:w="457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4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5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9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6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62"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r>
    </w:tbl>
    <w:p>
      <w:pPr>
        <w:widowControl/>
        <w:shd w:val="clear" w:color="auto" w:fill="FFFFFF"/>
        <w:jc w:val="center"/>
        <w:rPr>
          <w:rFonts w:ascii="宋体" w:hAnsi="宋体" w:eastAsia="宋体" w:cs="宋体"/>
          <w:color w:val="333333"/>
          <w:kern w:val="0"/>
          <w:szCs w:val="21"/>
        </w:rPr>
      </w:pPr>
    </w:p>
    <w:p>
      <w:pPr>
        <w:widowControl/>
        <w:shd w:val="clear" w:color="auto" w:fill="FFFFFF"/>
        <w:spacing w:line="580" w:lineRule="exact"/>
        <w:ind w:firstLine="640" w:firstLineChars="200"/>
        <w:rPr>
          <w:rFonts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四、政府信息公开行政复议、行政诉讼情况</w:t>
      </w:r>
    </w:p>
    <w:p>
      <w:pPr>
        <w:widowControl/>
        <w:shd w:val="clear" w:color="auto" w:fill="FFFFFF"/>
        <w:jc w:val="center"/>
        <w:rPr>
          <w:rFonts w:ascii="宋体" w:hAnsi="宋体" w:eastAsia="宋体" w:cs="宋体"/>
          <w:color w:val="333333"/>
          <w:kern w:val="0"/>
          <w:szCs w:val="21"/>
        </w:rPr>
      </w:pPr>
    </w:p>
    <w:tbl>
      <w:tblPr>
        <w:tblStyle w:val="5"/>
        <w:tblW w:w="9580" w:type="dxa"/>
        <w:jc w:val="center"/>
        <w:tblLayout w:type="autofit"/>
        <w:tblCellMar>
          <w:top w:w="0" w:type="dxa"/>
          <w:left w:w="0" w:type="dxa"/>
          <w:bottom w:w="0" w:type="dxa"/>
          <w:right w:w="0" w:type="dxa"/>
        </w:tblCellMar>
      </w:tblPr>
      <w:tblGrid>
        <w:gridCol w:w="625"/>
        <w:gridCol w:w="675"/>
        <w:gridCol w:w="675"/>
        <w:gridCol w:w="738"/>
        <w:gridCol w:w="516"/>
        <w:gridCol w:w="727"/>
        <w:gridCol w:w="624"/>
        <w:gridCol w:w="625"/>
        <w:gridCol w:w="625"/>
        <w:gridCol w:w="625"/>
        <w:gridCol w:w="625"/>
        <w:gridCol w:w="625"/>
        <w:gridCol w:w="625"/>
        <w:gridCol w:w="625"/>
        <w:gridCol w:w="625"/>
      </w:tblGrid>
      <w:tr>
        <w:tblPrEx>
          <w:tblCellMar>
            <w:top w:w="0" w:type="dxa"/>
            <w:left w:w="0" w:type="dxa"/>
            <w:bottom w:w="0" w:type="dxa"/>
            <w:right w:w="0" w:type="dxa"/>
          </w:tblCellMar>
        </w:tblPrEx>
        <w:trPr>
          <w:jc w:val="center"/>
        </w:trPr>
        <w:tc>
          <w:tcPr>
            <w:tcW w:w="3109"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71"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3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9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9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75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33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8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18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63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9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9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3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jc w:val="left"/>
        <w:rPr>
          <w:rFonts w:ascii="宋体" w:hAnsi="宋体" w:eastAsia="宋体" w:cs="宋体"/>
          <w:kern w:val="0"/>
          <w:sz w:val="24"/>
          <w:szCs w:val="24"/>
        </w:rPr>
      </w:pPr>
    </w:p>
    <w:p>
      <w:pPr>
        <w:widowControl/>
        <w:shd w:val="clear" w:color="auto" w:fill="FFFFFF"/>
        <w:spacing w:line="580" w:lineRule="exact"/>
        <w:ind w:firstLine="640" w:firstLineChars="200"/>
        <w:rPr>
          <w:rFonts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五、存在的主要问题及改进情况</w:t>
      </w:r>
    </w:p>
    <w:p>
      <w:pPr>
        <w:widowControl/>
        <w:shd w:val="clear" w:color="auto" w:fill="FFFFFF"/>
        <w:spacing w:line="580" w:lineRule="exact"/>
        <w:ind w:firstLine="480"/>
        <w:rPr>
          <w:rFonts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2021年，我局信息公开工作取得了一定成效，但仍存在薄弱环节。目前存在的主要问题是政务公开事项标准目录还需进一步梳理、完善。我们将认真研究国务院办公厅和省政府办公厅关于基层政务公开标准化规范化文件精神，对照《交通运输部办公厅关于印发&lt;交通运输领域基层政务公开标准指引&gt;的通知》中的重点公开事项，从公开什么、由谁公开、在哪公开、如何公开四方面着手开展工作，制定政务公开事项标准目录，提升政务公开和政务服务水平。</w:t>
      </w:r>
    </w:p>
    <w:p>
      <w:pPr>
        <w:widowControl/>
        <w:shd w:val="clear" w:color="auto" w:fill="FFFFFF"/>
        <w:spacing w:line="580" w:lineRule="exact"/>
        <w:ind w:firstLine="640" w:firstLineChars="200"/>
        <w:rPr>
          <w:rFonts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六、其他需要报告的事项</w:t>
      </w:r>
    </w:p>
    <w:p>
      <w:pPr>
        <w:widowControl/>
        <w:shd w:val="clear" w:color="auto" w:fill="FFFFFF"/>
        <w:spacing w:line="580" w:lineRule="exact"/>
        <w:ind w:firstLine="480"/>
        <w:jc w:val="left"/>
        <w:rPr>
          <w:rFonts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（一）2021年度未有收取信息处理费情况。</w:t>
      </w:r>
    </w:p>
    <w:p>
      <w:pPr>
        <w:widowControl/>
        <w:shd w:val="clear" w:color="auto" w:fill="FFFFFF"/>
        <w:spacing w:line="580" w:lineRule="exact"/>
        <w:ind w:firstLine="480"/>
        <w:jc w:val="left"/>
        <w:rPr>
          <w:rFonts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二）2021年，我局积极贯彻落实政府信息公开标准化国家级试点创建要求，立足为民、便民公开，将全市范围内的230余座国省干线公路桥梁公示牌全面换新，启用新式“电子身份证”——二维码桥梁公示牌，详细公布桥名、位置、桥型及管理、养护、监管、行政执法单位的监督电话等信息，并在公示牌右上角加贴二维码，适时、全面公开对桥梁责任单位、桥梁概况、桥梁状况巡检情况等信息，有效提高了宿迁桥梁电子信息化程度和管理效率，同时厘清了公路管理单位与交通运输综合执法机构的职责边界。</w:t>
      </w:r>
    </w:p>
    <w:p/>
    <w:sectPr>
      <w:footerReference r:id="rId3" w:type="default"/>
      <w:pgSz w:w="11906" w:h="16838"/>
      <w:pgMar w:top="2098" w:right="1531" w:bottom="1928"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36233"/>
      <w:docPartObj>
        <w:docPartGallery w:val="AutoText"/>
      </w:docPartObj>
    </w:sdtPr>
    <w:sdtContent>
      <w:p>
        <w:pPr>
          <w:pStyle w:val="2"/>
          <w:jc w:val="center"/>
        </w:pPr>
        <w:r>
          <w:rPr>
            <w:rFonts w:hint="eastAsia" w:ascii="方正仿宋_GBK" w:eastAsia="方正仿宋_GBK"/>
            <w:sz w:val="28"/>
          </w:rPr>
          <w:t>—</w:t>
        </w:r>
        <w:r>
          <w:rPr>
            <w:rFonts w:hint="eastAsia" w:ascii="方正仿宋_GBK" w:eastAsia="方正仿宋_GBK"/>
            <w:sz w:val="28"/>
          </w:rPr>
          <w:fldChar w:fldCharType="begin"/>
        </w:r>
        <w:r>
          <w:rPr>
            <w:rFonts w:hint="eastAsia" w:ascii="方正仿宋_GBK" w:eastAsia="方正仿宋_GBK"/>
            <w:sz w:val="28"/>
          </w:rPr>
          <w:instrText xml:space="preserve"> PAGE   \* MERGEFORMAT </w:instrText>
        </w:r>
        <w:r>
          <w:rPr>
            <w:rFonts w:hint="eastAsia" w:ascii="方正仿宋_GBK" w:eastAsia="方正仿宋_GBK"/>
            <w:sz w:val="28"/>
          </w:rPr>
          <w:fldChar w:fldCharType="separate"/>
        </w:r>
        <w:r>
          <w:rPr>
            <w:rFonts w:ascii="方正仿宋_GBK" w:eastAsia="方正仿宋_GBK"/>
            <w:sz w:val="28"/>
            <w:lang w:val="zh-CN"/>
          </w:rPr>
          <w:t>2</w:t>
        </w:r>
        <w:r>
          <w:rPr>
            <w:rFonts w:hint="eastAsia" w:ascii="方正仿宋_GBK" w:eastAsia="方正仿宋_GBK"/>
            <w:sz w:val="28"/>
          </w:rPr>
          <w:fldChar w:fldCharType="end"/>
        </w:r>
        <w:r>
          <w:rPr>
            <w:rFonts w:hint="eastAsia" w:ascii="方正仿宋_GBK" w:eastAsia="方正仿宋_GBK"/>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5D69"/>
    <w:rsid w:val="00093DE7"/>
    <w:rsid w:val="000F1218"/>
    <w:rsid w:val="001912A0"/>
    <w:rsid w:val="003B1F46"/>
    <w:rsid w:val="003E43FC"/>
    <w:rsid w:val="004B3CFD"/>
    <w:rsid w:val="00575D69"/>
    <w:rsid w:val="006545EB"/>
    <w:rsid w:val="00711BDF"/>
    <w:rsid w:val="007E1298"/>
    <w:rsid w:val="00870C61"/>
    <w:rsid w:val="008810D7"/>
    <w:rsid w:val="009939FB"/>
    <w:rsid w:val="009F5489"/>
    <w:rsid w:val="00A1608A"/>
    <w:rsid w:val="00AE3C87"/>
    <w:rsid w:val="00B027F2"/>
    <w:rsid w:val="00CF01AA"/>
    <w:rsid w:val="00D768B6"/>
    <w:rsid w:val="00E9100F"/>
    <w:rsid w:val="00F21904"/>
    <w:rsid w:val="00F45601"/>
    <w:rsid w:val="00FD62F7"/>
    <w:rsid w:val="34CA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478</Words>
  <Characters>2726</Characters>
  <Lines>22</Lines>
  <Paragraphs>6</Paragraphs>
  <TotalTime>375</TotalTime>
  <ScaleCrop>false</ScaleCrop>
  <LinksUpToDate>false</LinksUpToDate>
  <CharactersWithSpaces>3198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2022-01-25T03:36:00Z</dcterms:created>
  <dc:creator>Dell</dc:creator>
  <cp:lastModifiedBy>Administrator</cp:lastModifiedBy>
  <dcterms:modified xsi:type="dcterms:W3CDTF">2022-01-26T07:36:09Z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3537961777AF4954A17C66D1C8720C61</vt:lpwstr>
  </property>
</Properties>
</file>